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bookmarkStart w:id="3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山东省政务统一平台登录操作手册</w:t>
      </w:r>
    </w:p>
    <w:bookmarkEnd w:id="3"/>
    <w:p>
      <w:pPr>
        <w:jc w:val="center"/>
        <w:rPr>
          <w:rFonts w:ascii="黑体" w:hAnsi="黑体" w:eastAsia="黑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一、登录网上营业厅，选择单位登录=》山东省政务统一平台登录。</w:t>
      </w:r>
    </w:p>
    <w:p/>
    <w:p>
      <w:pPr>
        <w:jc w:val="center"/>
      </w:pPr>
      <w:r>
        <w:drawing>
          <wp:inline distT="0" distB="0" distL="114300" distR="114300">
            <wp:extent cx="1837055" cy="1684655"/>
            <wp:effectExtent l="0" t="0" r="10795" b="1079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837055" cy="1684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二、</w:t>
      </w:r>
      <w:r>
        <w:rPr>
          <w:rFonts w:hint="eastAsia" w:ascii="仿宋_GB2312" w:hAnsi="仿宋_GB2312" w:eastAsia="仿宋_GB2312" w:cs="仿宋_GB2312"/>
          <w:sz w:val="30"/>
          <w:szCs w:val="30"/>
        </w:rPr>
        <w:t>选择法人登录，输入账号\密码\验证码 , 省政务门户登录成功后，自动跳转到公积金网上营业厅。</w:t>
      </w:r>
    </w:p>
    <w:p>
      <w:pPr>
        <w:numPr>
          <w:numId w:val="0"/>
        </w:numPr>
        <w:jc w:val="center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4937125" cy="3545840"/>
            <wp:effectExtent l="0" t="0" r="15875" b="165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37125" cy="354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三、如果是一个账户，自动完成跳转，如果是多个用户，需要手动选择要登录的账户，如下图所示：</w:t>
      </w:r>
    </w:p>
    <w:p>
      <w:pPr>
        <w:rPr>
          <w:rFonts w:hint="eastAsia"/>
        </w:rPr>
      </w:pPr>
    </w:p>
    <w:p>
      <w:pPr>
        <w:ind w:firstLine="420"/>
        <w:rPr>
          <w:rFonts w:hint="eastAsia"/>
        </w:rPr>
      </w:pPr>
      <w:r>
        <w:drawing>
          <wp:inline distT="0" distB="0" distL="114300" distR="114300">
            <wp:extent cx="5269230" cy="1400810"/>
            <wp:effectExtent l="0" t="0" r="7620" b="889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40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四、注意事项：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1.单位要在“山东省统一政务服务门户”完成法人注册。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2.单位在“山东省统一政务服务门户”单位空间管理维护经办人增加。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3.单位在公积金系统预留的法人信息和经办人信息要与“山东省统一政务服务门户”中预留的法人和专办员信息一致。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4.如果公积金系统预留不一致，法人信息必须到柜面（管理部前台）进行修改，经办人信息可登录网厅完成修改，如下图所示：</w:t>
      </w:r>
    </w:p>
    <w:p>
      <w:pPr>
        <w:ind w:left="420" w:firstLine="420"/>
      </w:pPr>
    </w:p>
    <w:p>
      <w:pPr>
        <w:ind w:left="420" w:leftChars="0" w:firstLine="0" w:firstLineChars="0"/>
        <w:jc w:val="center"/>
      </w:pPr>
      <w:r>
        <w:drawing>
          <wp:inline distT="0" distB="0" distL="114300" distR="114300">
            <wp:extent cx="5267960" cy="1348105"/>
            <wp:effectExtent l="0" t="0" r="8890" b="4445"/>
            <wp:docPr id="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34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如无法登录网厅，则必须到柜面进行修改。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5.山东省统一政务服务门户注册帮助 ：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instrText xml:space="preserve"> HYPERLINK "https://zwfw.sd.gov.cn/col/col2409/index.html" </w:instrTex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fldChar w:fldCharType="separate"/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https://zwf</w:t>
      </w:r>
      <w:bookmarkStart w:id="0" w:name="_Hlt132729237"/>
      <w:bookmarkStart w:id="1" w:name="_Hlt132729236"/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w</w:t>
      </w:r>
      <w:bookmarkEnd w:id="0"/>
      <w:bookmarkEnd w:id="1"/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.sd</w:t>
      </w:r>
      <w:bookmarkStart w:id="2" w:name="_Hlt132729394"/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bookmarkEnd w:id="2"/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gov.cn/col/col2409/index.html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fldChar w:fldCharType="end"/>
      </w: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NjY4ZGQ1YjQ1ZjA0OGQwNzdmNzM3ZDM5MzIxNDAifQ=="/>
  </w:docVars>
  <w:rsids>
    <w:rsidRoot w:val="03F92594"/>
    <w:rsid w:val="03F92594"/>
    <w:rsid w:val="40257CF4"/>
    <w:rsid w:val="609C1B53"/>
    <w:rsid w:val="62060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2023-04-21T06:21:00Z</dcterms:created>
  <dc:creator>小强</dc:creator>
  <cp:lastModifiedBy>王漓江</cp:lastModifiedBy>
  <dcterms:modified xsi:type="dcterms:W3CDTF">2023-04-21T06:35:47Z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1613AFCC5933431FB77DD016A60945CB</vt:lpwstr>
  </property>
</Properties>
</file>